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7B" w:rsidRPr="002C0530" w:rsidRDefault="002C0530" w:rsidP="008E0A7B">
      <w:pPr>
        <w:jc w:val="right"/>
        <w:rPr>
          <w:b/>
          <w:i/>
          <w:sz w:val="24"/>
          <w:szCs w:val="24"/>
        </w:rPr>
      </w:pPr>
      <w:r w:rsidRPr="002C0530">
        <w:rPr>
          <w:b/>
          <w:i/>
          <w:sz w:val="24"/>
          <w:szCs w:val="24"/>
        </w:rPr>
        <w:t>Образец</w:t>
      </w:r>
      <w:r w:rsidR="008E0A7B" w:rsidRPr="002C0530">
        <w:rPr>
          <w:b/>
          <w:i/>
          <w:sz w:val="24"/>
          <w:szCs w:val="24"/>
        </w:rPr>
        <w:t xml:space="preserve"> № 3</w:t>
      </w:r>
    </w:p>
    <w:p w:rsidR="00760B78" w:rsidRDefault="00760B78" w:rsidP="00760B78">
      <w:pPr>
        <w:pStyle w:val="Heading5"/>
        <w:ind w:right="70"/>
        <w:jc w:val="center"/>
        <w:rPr>
          <w:rFonts w:ascii="Times New Roman" w:hAnsi="Times New Roman"/>
          <w:i w:val="0"/>
          <w:sz w:val="24"/>
          <w:szCs w:val="24"/>
        </w:rPr>
      </w:pPr>
      <w:r w:rsidRPr="00EB5D68">
        <w:rPr>
          <w:rFonts w:ascii="Times New Roman" w:hAnsi="Times New Roman"/>
          <w:i w:val="0"/>
          <w:sz w:val="24"/>
          <w:szCs w:val="24"/>
        </w:rPr>
        <w:t>ТЕХНИЧЕСКО ПРЕДЛОЖЕНИЕ</w:t>
      </w:r>
    </w:p>
    <w:p w:rsidR="00931E3E" w:rsidRPr="00931E3E" w:rsidRDefault="00931E3E" w:rsidP="00931E3E">
      <w:pPr>
        <w:rPr>
          <w:sz w:val="24"/>
          <w:szCs w:val="24"/>
        </w:rPr>
      </w:pPr>
      <w:r>
        <w:t xml:space="preserve">                                                                              </w:t>
      </w:r>
      <w:r w:rsidR="00DA60DD">
        <w:t xml:space="preserve"> </w:t>
      </w:r>
      <w:r w:rsidR="00846B12">
        <w:t xml:space="preserve"> </w:t>
      </w:r>
      <w:r w:rsidRPr="00931E3E">
        <w:rPr>
          <w:sz w:val="24"/>
          <w:szCs w:val="24"/>
        </w:rPr>
        <w:t>за</w:t>
      </w:r>
    </w:p>
    <w:p w:rsidR="00931E3E" w:rsidRPr="00FA62CA" w:rsidRDefault="00931E3E" w:rsidP="00FA62CA">
      <w:pPr>
        <w:jc w:val="center"/>
        <w:rPr>
          <w:sz w:val="24"/>
          <w:szCs w:val="24"/>
        </w:rPr>
      </w:pPr>
      <w:r w:rsidRPr="00FA62CA">
        <w:rPr>
          <w:sz w:val="24"/>
          <w:szCs w:val="24"/>
        </w:rPr>
        <w:t>възлагане на обществена поръчка чрез събиране на оферти с обява с предмет:</w:t>
      </w:r>
    </w:p>
    <w:p w:rsidR="00CD72D0" w:rsidRDefault="00CD72D0" w:rsidP="00CD72D0">
      <w:pPr>
        <w:pStyle w:val="BodyTextIndent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90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„Ремонт на противопожарен пръстен на територията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ПБ</w:t>
      </w:r>
      <w:r w:rsidRPr="00890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„Антон“ към  ТД „Държавен резерв“ , гр. София“</w:t>
      </w:r>
    </w:p>
    <w:p w:rsidR="00CD72D0" w:rsidRPr="00CD72D0" w:rsidRDefault="00CD72D0" w:rsidP="00CD72D0">
      <w:pPr>
        <w:pStyle w:val="BodyTextInden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0B78" w:rsidRPr="00FA62CA" w:rsidRDefault="00CD72D0" w:rsidP="00CD72D0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 xml:space="preserve"> </w:t>
      </w:r>
      <w:r w:rsidR="00760B78" w:rsidRPr="00FA62CA">
        <w:rPr>
          <w:rFonts w:ascii="Times New Roman" w:hAnsi="Times New Roman"/>
          <w:lang w:val="bg-BG"/>
        </w:rPr>
        <w:t>[</w:t>
      </w:r>
      <w:r w:rsidR="00760B78"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="00760B78" w:rsidRPr="00FA62CA">
        <w:rPr>
          <w:rFonts w:ascii="Times New Roman" w:hAnsi="Times New Roman"/>
          <w:lang w:val="bg-BG"/>
        </w:rPr>
        <w:t>],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760B78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C6695A" w:rsidRDefault="00C6695A" w:rsidP="00FA62CA">
      <w:pPr>
        <w:pStyle w:val="CharCharChar1"/>
        <w:jc w:val="both"/>
        <w:rPr>
          <w:rFonts w:ascii="Times New Roman" w:hAnsi="Times New Roman"/>
          <w:lang w:val="bg-BG"/>
        </w:rPr>
      </w:pPr>
    </w:p>
    <w:p w:rsidR="00760B78" w:rsidRPr="00FA62CA" w:rsidRDefault="00760B78" w:rsidP="00FA62CA">
      <w:pPr>
        <w:jc w:val="both"/>
        <w:rPr>
          <w:bCs/>
          <w:sz w:val="24"/>
          <w:szCs w:val="24"/>
        </w:rPr>
      </w:pPr>
    </w:p>
    <w:p w:rsidR="00760B78" w:rsidRPr="00FA62CA" w:rsidRDefault="000171AF" w:rsidP="00FA62C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60B78" w:rsidRPr="00FA62CA">
        <w:rPr>
          <w:b/>
          <w:bCs/>
          <w:sz w:val="24"/>
          <w:szCs w:val="24"/>
        </w:rPr>
        <w:t>УВАЖАЕМИ ГОСПОДИН</w:t>
      </w:r>
      <w:r w:rsidR="008A0084" w:rsidRPr="00FA62CA">
        <w:rPr>
          <w:b/>
          <w:i/>
          <w:spacing w:val="-1"/>
          <w:sz w:val="24"/>
          <w:szCs w:val="24"/>
        </w:rPr>
        <w:t xml:space="preserve"> </w:t>
      </w:r>
      <w:r w:rsidR="008A0084" w:rsidRPr="00FA62CA">
        <w:rPr>
          <w:b/>
          <w:spacing w:val="-1"/>
          <w:sz w:val="24"/>
          <w:szCs w:val="24"/>
        </w:rPr>
        <w:t>ПРЕДСЕДАТЕЛ</w:t>
      </w:r>
      <w:r w:rsidR="008A0084" w:rsidRPr="00FA62CA">
        <w:rPr>
          <w:b/>
          <w:i/>
          <w:spacing w:val="-1"/>
          <w:sz w:val="24"/>
          <w:szCs w:val="24"/>
        </w:rPr>
        <w:t>,</w:t>
      </w:r>
    </w:p>
    <w:p w:rsidR="00760B78" w:rsidRPr="00FA62CA" w:rsidRDefault="00760B78" w:rsidP="00FA62CA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5F6940" w:rsidRDefault="00A40DC1" w:rsidP="005F6940">
      <w:pPr>
        <w:ind w:firstLine="696"/>
        <w:jc w:val="both"/>
        <w:rPr>
          <w:sz w:val="24"/>
          <w:szCs w:val="24"/>
        </w:rPr>
      </w:pPr>
      <w:r w:rsidRPr="00FA62CA">
        <w:rPr>
          <w:sz w:val="24"/>
          <w:szCs w:val="24"/>
        </w:rPr>
        <w:t>Заявяваме,</w:t>
      </w:r>
      <w:r w:rsidR="00EB722F" w:rsidRPr="00FA62CA">
        <w:rPr>
          <w:sz w:val="24"/>
          <w:szCs w:val="24"/>
        </w:rPr>
        <w:t xml:space="preserve"> </w:t>
      </w:r>
      <w:r w:rsidRPr="00FA62CA">
        <w:rPr>
          <w:sz w:val="24"/>
          <w:szCs w:val="24"/>
        </w:rPr>
        <w:t>че желаем да участваме в обществената поръчка за избор на изпълнител по реда на Глава двадесет и шеста от</w:t>
      </w:r>
      <w:r w:rsidR="00EB722F" w:rsidRPr="00FA62CA">
        <w:rPr>
          <w:sz w:val="24"/>
          <w:szCs w:val="24"/>
        </w:rPr>
        <w:t xml:space="preserve"> ЗОП с горепосочения предмет и предлагаме да</w:t>
      </w:r>
      <w:r w:rsidRPr="00FA62CA">
        <w:rPr>
          <w:sz w:val="24"/>
          <w:szCs w:val="24"/>
        </w:rPr>
        <w:t xml:space="preserve"> изпълним поръчката при условията, посочени в обявата и</w:t>
      </w:r>
      <w:r w:rsidR="00EB722F" w:rsidRPr="00FA62CA">
        <w:rPr>
          <w:sz w:val="24"/>
          <w:szCs w:val="24"/>
        </w:rPr>
        <w:t xml:space="preserve"> съг</w:t>
      </w:r>
      <w:r w:rsidR="000061B2">
        <w:rPr>
          <w:sz w:val="24"/>
          <w:szCs w:val="24"/>
        </w:rPr>
        <w:t>ласно Т</w:t>
      </w:r>
      <w:r w:rsidR="00EB722F" w:rsidRPr="00FA62CA">
        <w:rPr>
          <w:sz w:val="24"/>
          <w:szCs w:val="24"/>
        </w:rPr>
        <w:t xml:space="preserve">ехническите спецификации и изискванията към изпълнението, неразделна част от обявата. </w:t>
      </w:r>
      <w:r w:rsidR="00760B78" w:rsidRPr="00FA62CA">
        <w:rPr>
          <w:sz w:val="24"/>
          <w:szCs w:val="24"/>
        </w:rPr>
        <w:t>Предлагаме да изпълним поръчката при следните условия:</w:t>
      </w:r>
    </w:p>
    <w:p w:rsidR="00DE51CC" w:rsidRPr="005A2744" w:rsidRDefault="005A2744" w:rsidP="005F6940">
      <w:pPr>
        <w:ind w:firstLine="696"/>
        <w:jc w:val="both"/>
        <w:rPr>
          <w:sz w:val="24"/>
          <w:szCs w:val="24"/>
        </w:rPr>
      </w:pPr>
      <w:r w:rsidRPr="005A2744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0A57AD" w:rsidRPr="005A2744">
        <w:rPr>
          <w:b/>
          <w:sz w:val="24"/>
          <w:szCs w:val="24"/>
        </w:rPr>
        <w:t xml:space="preserve">Срок </w:t>
      </w:r>
      <w:r w:rsidR="00760B78" w:rsidRPr="005A2744">
        <w:rPr>
          <w:b/>
          <w:sz w:val="24"/>
          <w:szCs w:val="24"/>
        </w:rPr>
        <w:t xml:space="preserve">за изпълнение: </w:t>
      </w:r>
      <w:r w:rsidR="00760B78" w:rsidRPr="005A2744">
        <w:rPr>
          <w:sz w:val="24"/>
          <w:szCs w:val="24"/>
        </w:rPr>
        <w:t>Срок</w:t>
      </w:r>
      <w:r w:rsidR="00C549CE" w:rsidRPr="005A2744">
        <w:rPr>
          <w:sz w:val="24"/>
          <w:szCs w:val="24"/>
        </w:rPr>
        <w:t>ът</w:t>
      </w:r>
      <w:r w:rsidR="00760B78" w:rsidRPr="005A2744">
        <w:rPr>
          <w:sz w:val="24"/>
          <w:szCs w:val="24"/>
        </w:rPr>
        <w:t xml:space="preserve"> за изпълнение на дейностите по строително-монтажни работи и съпътстващи дейности по реализация на поръчката</w:t>
      </w:r>
      <w:r w:rsidRPr="005A2744">
        <w:rPr>
          <w:sz w:val="24"/>
          <w:szCs w:val="24"/>
        </w:rPr>
        <w:t>,</w:t>
      </w:r>
      <w:r w:rsidR="00760B78" w:rsidRPr="005A2744">
        <w:rPr>
          <w:sz w:val="24"/>
          <w:szCs w:val="24"/>
        </w:rPr>
        <w:t xml:space="preserve"> съгласно техническата спецификация и </w:t>
      </w:r>
      <w:r w:rsidR="005F6940">
        <w:rPr>
          <w:sz w:val="24"/>
          <w:szCs w:val="24"/>
        </w:rPr>
        <w:t xml:space="preserve">количествено-стойностната </w:t>
      </w:r>
      <w:r w:rsidR="00760B78" w:rsidRPr="005A2744">
        <w:rPr>
          <w:sz w:val="24"/>
          <w:szCs w:val="24"/>
        </w:rPr>
        <w:t>сметка</w:t>
      </w:r>
      <w:r w:rsidRPr="005A2744">
        <w:rPr>
          <w:sz w:val="24"/>
          <w:szCs w:val="24"/>
        </w:rPr>
        <w:t>,</w:t>
      </w:r>
      <w:r w:rsidR="00C549CE" w:rsidRPr="005A2744">
        <w:rPr>
          <w:sz w:val="24"/>
          <w:szCs w:val="24"/>
        </w:rPr>
        <w:t xml:space="preserve"> ще бъде</w:t>
      </w:r>
      <w:r w:rsidRPr="005A2744">
        <w:rPr>
          <w:sz w:val="24"/>
          <w:szCs w:val="24"/>
        </w:rPr>
        <w:t>…………………………………………………………………….. дни (но не повече от</w:t>
      </w:r>
      <w:r w:rsidR="00760B78" w:rsidRPr="005A2744">
        <w:rPr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 w:rsidR="00DE51CC" w:rsidRPr="005A2744">
        <w:rPr>
          <w:sz w:val="24"/>
          <w:szCs w:val="24"/>
        </w:rPr>
        <w:t xml:space="preserve"> календарни дни</w:t>
      </w:r>
      <w:r w:rsidRPr="005A2744">
        <w:rPr>
          <w:sz w:val="24"/>
          <w:szCs w:val="24"/>
        </w:rPr>
        <w:t>)</w:t>
      </w:r>
      <w:r w:rsidR="00C549CE" w:rsidRPr="005A2744">
        <w:rPr>
          <w:sz w:val="24"/>
          <w:szCs w:val="24"/>
        </w:rPr>
        <w:t xml:space="preserve"> от получаване на разрешение за достъп на персонала до обекта за изпълнение, представляващ стратегическа зона по смисъла на Постановление № 3/10.01.2013г. на Министерски съвет за определяне на стратегически обекти и дейности които са от значение за националната сигурност</w:t>
      </w:r>
      <w:r w:rsidRPr="005A2744">
        <w:rPr>
          <w:sz w:val="24"/>
          <w:szCs w:val="24"/>
        </w:rPr>
        <w:t xml:space="preserve">, и след подписване на </w:t>
      </w:r>
      <w:r>
        <w:rPr>
          <w:sz w:val="24"/>
          <w:szCs w:val="24"/>
        </w:rPr>
        <w:t>п</w:t>
      </w:r>
      <w:r w:rsidRPr="005A2744">
        <w:rPr>
          <w:sz w:val="24"/>
          <w:szCs w:val="24"/>
        </w:rPr>
        <w:t xml:space="preserve">ротокол (Приложение № 2 от  </w:t>
      </w:r>
      <w:r>
        <w:rPr>
          <w:sz w:val="24"/>
          <w:szCs w:val="24"/>
        </w:rPr>
        <w:t xml:space="preserve">Наредба № 3 от </w:t>
      </w:r>
      <w:r w:rsidRPr="005A2744">
        <w:rPr>
          <w:sz w:val="24"/>
          <w:szCs w:val="24"/>
        </w:rPr>
        <w:t>31.07.2003 г.) за откриване на строителна площадка</w:t>
      </w:r>
      <w:r w:rsidR="00C549CE" w:rsidRPr="005A2744">
        <w:rPr>
          <w:sz w:val="24"/>
          <w:szCs w:val="24"/>
        </w:rPr>
        <w:t>.</w:t>
      </w:r>
    </w:p>
    <w:p w:rsidR="00DE51CC" w:rsidRPr="00FA62CA" w:rsidRDefault="00DE51CC" w:rsidP="005A2744">
      <w:pPr>
        <w:shd w:val="clear" w:color="auto" w:fill="FFFFFF"/>
        <w:tabs>
          <w:tab w:val="left" w:pos="288"/>
        </w:tabs>
        <w:ind w:firstLine="567"/>
        <w:jc w:val="both"/>
        <w:rPr>
          <w:color w:val="FF0000"/>
          <w:spacing w:val="-17"/>
          <w:sz w:val="24"/>
          <w:szCs w:val="24"/>
        </w:rPr>
      </w:pPr>
    </w:p>
    <w:p w:rsidR="005F6940" w:rsidRPr="008906B6" w:rsidRDefault="00760B78" w:rsidP="004F27C0">
      <w:pPr>
        <w:shd w:val="clear" w:color="auto" w:fill="FFFFFF"/>
        <w:ind w:left="29" w:firstLine="538"/>
        <w:jc w:val="both"/>
        <w:rPr>
          <w:b/>
          <w:sz w:val="24"/>
          <w:szCs w:val="24"/>
        </w:rPr>
      </w:pPr>
      <w:r w:rsidRPr="00FA62CA">
        <w:rPr>
          <w:b/>
          <w:sz w:val="24"/>
          <w:szCs w:val="24"/>
        </w:rPr>
        <w:t>2.</w:t>
      </w:r>
      <w:r w:rsidRPr="00FA62CA">
        <w:rPr>
          <w:sz w:val="24"/>
          <w:szCs w:val="24"/>
        </w:rPr>
        <w:t xml:space="preserve"> </w:t>
      </w:r>
      <w:r w:rsidRPr="00FA62CA">
        <w:rPr>
          <w:b/>
          <w:sz w:val="24"/>
          <w:szCs w:val="24"/>
        </w:rPr>
        <w:t>Място на изпълнение на поръчката:</w:t>
      </w:r>
      <w:r w:rsidR="004A6F81" w:rsidRPr="00FA62CA">
        <w:rPr>
          <w:b/>
          <w:sz w:val="24"/>
          <w:szCs w:val="24"/>
        </w:rPr>
        <w:t xml:space="preserve"> </w:t>
      </w:r>
      <w:r w:rsidR="005F6940" w:rsidRPr="008906B6">
        <w:rPr>
          <w:color w:val="000000"/>
          <w:sz w:val="24"/>
          <w:szCs w:val="24"/>
        </w:rPr>
        <w:t>Петролна база „Антон“ гр. Антон към  ТД „Държавен резерв“ , гр. София</w:t>
      </w:r>
    </w:p>
    <w:p w:rsidR="000061B2" w:rsidRPr="00FA62CA" w:rsidRDefault="000061B2" w:rsidP="00FA62CA">
      <w:pPr>
        <w:ind w:firstLine="567"/>
        <w:jc w:val="both"/>
        <w:rPr>
          <w:sz w:val="24"/>
          <w:szCs w:val="24"/>
        </w:rPr>
      </w:pPr>
    </w:p>
    <w:p w:rsidR="00760B78" w:rsidRDefault="000061B2" w:rsidP="00FA62CA">
      <w:pPr>
        <w:pStyle w:val="ListParagraph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Предлагаме да изпълним поръчката</w:t>
      </w:r>
      <w:r w:rsidR="00760B78" w:rsidRPr="00FA62CA">
        <w:rPr>
          <w:b/>
          <w:sz w:val="24"/>
          <w:szCs w:val="24"/>
        </w:rPr>
        <w:t xml:space="preserve"> при спазване на следните описани дейности:</w:t>
      </w:r>
    </w:p>
    <w:p w:rsidR="00C6695A" w:rsidRPr="00FA62CA" w:rsidRDefault="00C6695A" w:rsidP="00FA62CA">
      <w:pPr>
        <w:pStyle w:val="ListParagraph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F03DDC" w:rsidRDefault="00665578" w:rsidP="00FA62CA">
      <w:pPr>
        <w:pStyle w:val="Default"/>
        <w:ind w:firstLine="567"/>
        <w:jc w:val="both"/>
      </w:pPr>
      <w:r w:rsidRPr="00FA62CA">
        <w:rPr>
          <w:b/>
          <w:i/>
        </w:rPr>
        <w:t>А.</w:t>
      </w:r>
      <w:r w:rsidR="00580489" w:rsidRPr="00FA62CA">
        <w:rPr>
          <w:b/>
          <w:i/>
        </w:rPr>
        <w:t xml:space="preserve"> </w:t>
      </w:r>
      <w:r w:rsidR="00F03DDC" w:rsidRPr="00FA62CA">
        <w:rPr>
          <w:b/>
          <w:i/>
        </w:rPr>
        <w:t>ТЕХНОЛОГИЧНА ПОСЛЕДОВАТЕЛНОСТ НА СТРОИТЕЛНИТЕ ПРОЦЕСИ И ОРГАНИЗАЦИЯ НА ИЗПЪЛНЕНИЕТО</w:t>
      </w:r>
      <w:r w:rsidR="00F03DDC" w:rsidRPr="00FA62CA">
        <w:t xml:space="preserve"> </w:t>
      </w:r>
    </w:p>
    <w:p w:rsidR="00706889" w:rsidRPr="00FA62CA" w:rsidRDefault="00706889" w:rsidP="00FA62CA">
      <w:pPr>
        <w:pStyle w:val="Default"/>
        <w:ind w:firstLine="567"/>
        <w:jc w:val="both"/>
      </w:pPr>
    </w:p>
    <w:p w:rsidR="00665578" w:rsidRPr="00FA62CA" w:rsidRDefault="005A377C" w:rsidP="00FA62CA">
      <w:pPr>
        <w:pStyle w:val="Default"/>
        <w:ind w:firstLine="567"/>
        <w:jc w:val="both"/>
      </w:pPr>
      <w:r w:rsidRPr="00FA62CA">
        <w:t xml:space="preserve"> За </w:t>
      </w:r>
      <w:r w:rsidR="00665578" w:rsidRPr="00FA62CA">
        <w:t>Т</w:t>
      </w:r>
      <w:r w:rsidR="00F03DDC" w:rsidRPr="00FA62CA">
        <w:t>ехнологичната</w:t>
      </w:r>
      <w:r w:rsidR="00665578" w:rsidRPr="00FA62CA">
        <w:t xml:space="preserve"> последователност на строителните процеси, както и съгласуваност между дейностите, извършвани по </w:t>
      </w:r>
      <w:r w:rsidR="00DE4C55" w:rsidRPr="00FA62CA">
        <w:t>от</w:t>
      </w:r>
      <w:r w:rsidRPr="00FA62CA">
        <w:t>делните части на програмата</w:t>
      </w:r>
      <w:r w:rsidR="00DE4C55" w:rsidRPr="00FA62CA">
        <w:t xml:space="preserve"> прилагаме:</w:t>
      </w:r>
      <w:r w:rsidR="00665578" w:rsidRPr="00FA62CA">
        <w:t xml:space="preserve"> </w:t>
      </w:r>
    </w:p>
    <w:p w:rsidR="00665578" w:rsidRPr="00FA62CA" w:rsidRDefault="00665578" w:rsidP="00FA62CA">
      <w:pPr>
        <w:pStyle w:val="ListParagraph"/>
        <w:widowControl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FA62CA">
        <w:rPr>
          <w:sz w:val="24"/>
          <w:szCs w:val="24"/>
        </w:rPr>
        <w:lastRenderedPageBreak/>
        <w:t xml:space="preserve">       -</w:t>
      </w:r>
      <w:r w:rsidRPr="00FA62CA">
        <w:rPr>
          <w:color w:val="FF0000"/>
          <w:sz w:val="24"/>
          <w:szCs w:val="24"/>
        </w:rPr>
        <w:t xml:space="preserve">  </w:t>
      </w:r>
      <w:r w:rsidRPr="00FA62CA">
        <w:rPr>
          <w:b/>
          <w:bCs/>
          <w:sz w:val="24"/>
          <w:szCs w:val="24"/>
        </w:rPr>
        <w:t>Работна програма</w:t>
      </w:r>
      <w:r w:rsidR="00DE4C55" w:rsidRPr="00FA62CA">
        <w:rPr>
          <w:bCs/>
          <w:sz w:val="24"/>
          <w:szCs w:val="24"/>
        </w:rPr>
        <w:t>, която</w:t>
      </w:r>
      <w:r w:rsidRPr="00FA62CA">
        <w:rPr>
          <w:bCs/>
          <w:sz w:val="24"/>
          <w:szCs w:val="24"/>
        </w:rPr>
        <w:t xml:space="preserve"> съдържа организацията за изпълнение на пълния обхват на работите</w:t>
      </w:r>
      <w:r w:rsidR="00DE4C55" w:rsidRPr="00FA62CA">
        <w:rPr>
          <w:bCs/>
          <w:sz w:val="24"/>
          <w:szCs w:val="24"/>
        </w:rPr>
        <w:t>, предмет на поръчката</w:t>
      </w:r>
      <w:r w:rsidRPr="00FA62CA">
        <w:rPr>
          <w:bCs/>
          <w:sz w:val="24"/>
          <w:szCs w:val="24"/>
        </w:rPr>
        <w:t xml:space="preserve"> – </w:t>
      </w:r>
      <w:r w:rsidR="00DE4C55" w:rsidRPr="00FA62CA">
        <w:rPr>
          <w:bCs/>
          <w:sz w:val="24"/>
          <w:szCs w:val="24"/>
        </w:rPr>
        <w:t xml:space="preserve">технологичната </w:t>
      </w:r>
      <w:r w:rsidRPr="00FA62CA">
        <w:rPr>
          <w:bCs/>
          <w:sz w:val="24"/>
          <w:szCs w:val="24"/>
        </w:rPr>
        <w:t>последователност</w:t>
      </w:r>
      <w:r w:rsidR="00DE4C55" w:rsidRPr="00FA62CA">
        <w:rPr>
          <w:bCs/>
          <w:sz w:val="24"/>
          <w:szCs w:val="24"/>
        </w:rPr>
        <w:t xml:space="preserve"> на строителните процеси</w:t>
      </w:r>
      <w:r w:rsidRPr="00FA62CA">
        <w:rPr>
          <w:bCs/>
          <w:sz w:val="24"/>
          <w:szCs w:val="24"/>
        </w:rPr>
        <w:t xml:space="preserve">, които ще бъдат извършени цялостно, в срок и качествено при спазване изискванията на Възложителя. </w:t>
      </w:r>
    </w:p>
    <w:p w:rsidR="00665578" w:rsidRPr="00FA62CA" w:rsidRDefault="005A377C" w:rsidP="00FA62CA">
      <w:pPr>
        <w:pStyle w:val="ListParagraph"/>
        <w:widowControl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FA62CA">
        <w:rPr>
          <w:bCs/>
          <w:sz w:val="24"/>
          <w:szCs w:val="24"/>
        </w:rPr>
        <w:t xml:space="preserve">   -</w:t>
      </w:r>
      <w:r w:rsidR="00793DA9" w:rsidRPr="00FA62CA">
        <w:rPr>
          <w:bCs/>
          <w:sz w:val="24"/>
          <w:szCs w:val="24"/>
        </w:rPr>
        <w:t xml:space="preserve">  </w:t>
      </w:r>
      <w:r w:rsidR="00706889" w:rsidRPr="00706889">
        <w:rPr>
          <w:b/>
          <w:bCs/>
          <w:sz w:val="24"/>
          <w:szCs w:val="24"/>
        </w:rPr>
        <w:t>О</w:t>
      </w:r>
      <w:r w:rsidR="00665578" w:rsidRPr="00FA62CA">
        <w:rPr>
          <w:b/>
          <w:bCs/>
          <w:sz w:val="24"/>
          <w:szCs w:val="24"/>
        </w:rPr>
        <w:t>рганизационен план</w:t>
      </w:r>
      <w:r w:rsidR="00665578" w:rsidRPr="00FA62CA">
        <w:rPr>
          <w:bCs/>
          <w:sz w:val="24"/>
          <w:szCs w:val="24"/>
        </w:rPr>
        <w:t xml:space="preserve"> за изпълнение на договора, мероприятия по опазване на околната среда; безопасни и здравословни условия на труд; мерки, осигуряващи пожарна и аварийна безопасност; Система за осъществяване на качеството и </w:t>
      </w:r>
      <w:r w:rsidR="00665578" w:rsidRPr="00FA62CA">
        <w:rPr>
          <w:bCs/>
          <w:sz w:val="24"/>
          <w:szCs w:val="24"/>
          <w:lang w:val="en-US"/>
        </w:rPr>
        <w:t>ITP</w:t>
      </w:r>
      <w:r w:rsidR="00665578" w:rsidRPr="00FA62CA">
        <w:rPr>
          <w:bCs/>
          <w:sz w:val="24"/>
          <w:szCs w:val="24"/>
        </w:rPr>
        <w:t xml:space="preserve"> план (</w:t>
      </w:r>
      <w:r w:rsidR="00665578" w:rsidRPr="00FA62CA">
        <w:rPr>
          <w:b/>
          <w:bCs/>
          <w:i/>
          <w:sz w:val="24"/>
          <w:szCs w:val="24"/>
          <w:lang w:val="en-US"/>
        </w:rPr>
        <w:t>Inspection</w:t>
      </w:r>
      <w:r w:rsidR="00665578" w:rsidRPr="00FA62CA">
        <w:rPr>
          <w:b/>
          <w:bCs/>
          <w:i/>
          <w:sz w:val="24"/>
          <w:szCs w:val="24"/>
        </w:rPr>
        <w:t xml:space="preserve"> </w:t>
      </w:r>
      <w:r w:rsidR="00665578" w:rsidRPr="00FA62CA">
        <w:rPr>
          <w:b/>
          <w:bCs/>
          <w:i/>
          <w:sz w:val="24"/>
          <w:szCs w:val="24"/>
          <w:lang w:val="en-US"/>
        </w:rPr>
        <w:t>and</w:t>
      </w:r>
      <w:r w:rsidR="00665578" w:rsidRPr="00FA62CA">
        <w:rPr>
          <w:b/>
          <w:bCs/>
          <w:i/>
          <w:sz w:val="24"/>
          <w:szCs w:val="24"/>
        </w:rPr>
        <w:t xml:space="preserve"> </w:t>
      </w:r>
      <w:r w:rsidR="00665578" w:rsidRPr="00FA62CA">
        <w:rPr>
          <w:b/>
          <w:bCs/>
          <w:i/>
          <w:sz w:val="24"/>
          <w:szCs w:val="24"/>
          <w:lang w:val="en-US"/>
        </w:rPr>
        <w:t>Test</w:t>
      </w:r>
      <w:r w:rsidR="00665578" w:rsidRPr="00FA62CA">
        <w:rPr>
          <w:b/>
          <w:bCs/>
          <w:i/>
          <w:sz w:val="24"/>
          <w:szCs w:val="24"/>
        </w:rPr>
        <w:t xml:space="preserve"> </w:t>
      </w:r>
      <w:r w:rsidR="00665578" w:rsidRPr="00FA62CA">
        <w:rPr>
          <w:b/>
          <w:bCs/>
          <w:i/>
          <w:sz w:val="24"/>
          <w:szCs w:val="24"/>
          <w:lang w:val="en-US"/>
        </w:rPr>
        <w:t>Plan</w:t>
      </w:r>
      <w:r w:rsidR="00665578" w:rsidRPr="00FA62CA">
        <w:rPr>
          <w:b/>
          <w:bCs/>
          <w:sz w:val="24"/>
          <w:szCs w:val="24"/>
        </w:rPr>
        <w:t>).</w:t>
      </w:r>
      <w:r w:rsidR="00665578" w:rsidRPr="00FA62CA">
        <w:rPr>
          <w:bCs/>
          <w:sz w:val="24"/>
          <w:szCs w:val="24"/>
        </w:rPr>
        <w:t xml:space="preserve"> </w:t>
      </w:r>
    </w:p>
    <w:p w:rsidR="00665578" w:rsidRPr="00FA62CA" w:rsidRDefault="00665578" w:rsidP="00FA62CA">
      <w:pPr>
        <w:pStyle w:val="ListParagraph"/>
        <w:widowControl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FA62CA">
        <w:rPr>
          <w:bCs/>
          <w:sz w:val="24"/>
          <w:szCs w:val="24"/>
        </w:rPr>
        <w:t xml:space="preserve">       -  </w:t>
      </w:r>
      <w:r w:rsidRPr="00FA62CA">
        <w:rPr>
          <w:b/>
          <w:bCs/>
          <w:sz w:val="24"/>
          <w:szCs w:val="24"/>
        </w:rPr>
        <w:t>Списък на производителите</w:t>
      </w:r>
      <w:r w:rsidRPr="00FA62CA">
        <w:rPr>
          <w:bCs/>
          <w:sz w:val="24"/>
          <w:szCs w:val="24"/>
        </w:rPr>
        <w:t xml:space="preserve"> на основните материали и оборудване, доставяни от </w:t>
      </w:r>
      <w:r w:rsidR="008C0B0E">
        <w:rPr>
          <w:bCs/>
          <w:sz w:val="24"/>
          <w:szCs w:val="24"/>
        </w:rPr>
        <w:t>нас</w:t>
      </w:r>
      <w:r w:rsidRPr="00FA62CA">
        <w:rPr>
          <w:bCs/>
          <w:sz w:val="24"/>
          <w:szCs w:val="24"/>
        </w:rPr>
        <w:t xml:space="preserve"> </w:t>
      </w:r>
      <w:r w:rsidR="00706889">
        <w:rPr>
          <w:bCs/>
          <w:sz w:val="24"/>
          <w:szCs w:val="24"/>
        </w:rPr>
        <w:t xml:space="preserve">за влагане в строежа </w:t>
      </w:r>
      <w:r w:rsidR="00706889" w:rsidRPr="00AD25F5">
        <w:rPr>
          <w:bCs/>
          <w:sz w:val="24"/>
          <w:szCs w:val="24"/>
        </w:rPr>
        <w:t>(свободен текст</w:t>
      </w:r>
      <w:r w:rsidRPr="00AD25F5">
        <w:rPr>
          <w:bCs/>
          <w:sz w:val="24"/>
          <w:szCs w:val="24"/>
        </w:rPr>
        <w:t>)</w:t>
      </w:r>
      <w:r w:rsidRPr="00FA62CA">
        <w:rPr>
          <w:bCs/>
          <w:sz w:val="24"/>
          <w:szCs w:val="24"/>
        </w:rPr>
        <w:t xml:space="preserve">. Предлаганите материали и оборудване са съобразени с изискванията на Възложителя, посочени </w:t>
      </w:r>
      <w:r w:rsidR="007E6DE4">
        <w:rPr>
          <w:bCs/>
          <w:sz w:val="24"/>
          <w:szCs w:val="24"/>
        </w:rPr>
        <w:t>в Техническата спецификация</w:t>
      </w:r>
      <w:r w:rsidR="007E6DE4" w:rsidRPr="00FA62CA">
        <w:rPr>
          <w:bCs/>
          <w:sz w:val="24"/>
          <w:szCs w:val="24"/>
        </w:rPr>
        <w:t xml:space="preserve"> </w:t>
      </w:r>
      <w:r w:rsidR="007E6DE4">
        <w:rPr>
          <w:bCs/>
          <w:sz w:val="24"/>
          <w:szCs w:val="24"/>
        </w:rPr>
        <w:t>– Приложение № 1</w:t>
      </w:r>
      <w:r w:rsidR="00665958">
        <w:rPr>
          <w:bCs/>
          <w:sz w:val="24"/>
          <w:szCs w:val="24"/>
        </w:rPr>
        <w:t xml:space="preserve"> </w:t>
      </w:r>
      <w:r w:rsidR="007E6DE4">
        <w:rPr>
          <w:bCs/>
          <w:sz w:val="24"/>
          <w:szCs w:val="24"/>
        </w:rPr>
        <w:t>и количествено-стойностната сметка – Приложение № 1</w:t>
      </w:r>
      <w:r w:rsidRPr="00FA62CA">
        <w:rPr>
          <w:bCs/>
          <w:sz w:val="24"/>
          <w:szCs w:val="24"/>
        </w:rPr>
        <w:t>.</w:t>
      </w:r>
      <w:proofErr w:type="spellStart"/>
      <w:r w:rsidR="007E6DE4">
        <w:rPr>
          <w:bCs/>
          <w:sz w:val="24"/>
          <w:szCs w:val="24"/>
        </w:rPr>
        <w:t>1</w:t>
      </w:r>
      <w:proofErr w:type="spellEnd"/>
      <w:r w:rsidR="007E6DE4">
        <w:rPr>
          <w:bCs/>
          <w:sz w:val="24"/>
          <w:szCs w:val="24"/>
        </w:rPr>
        <w:t>.</w:t>
      </w:r>
    </w:p>
    <w:p w:rsidR="00665578" w:rsidRPr="00FA62CA" w:rsidRDefault="00665578" w:rsidP="00FA62CA">
      <w:pPr>
        <w:pStyle w:val="Default"/>
        <w:jc w:val="both"/>
      </w:pPr>
      <w:r w:rsidRPr="00FA62CA">
        <w:rPr>
          <w:bCs/>
        </w:rPr>
        <w:t xml:space="preserve">        - </w:t>
      </w:r>
      <w:r w:rsidRPr="00FA62CA">
        <w:rPr>
          <w:b/>
          <w:bCs/>
        </w:rPr>
        <w:t>Линеен график</w:t>
      </w:r>
      <w:r w:rsidRPr="00FA62CA">
        <w:rPr>
          <w:bCs/>
        </w:rPr>
        <w:t xml:space="preserve"> за изпълнение на поръчката с посочени връзки между дейностите.</w:t>
      </w:r>
      <w:r w:rsidRPr="00FA62CA">
        <w:t xml:space="preserve"> Линейният график представлява </w:t>
      </w:r>
      <w:r w:rsidRPr="00FA62CA">
        <w:rPr>
          <w:b/>
          <w:bCs/>
        </w:rPr>
        <w:t>Графична част</w:t>
      </w:r>
      <w:r w:rsidRPr="00FA62CA">
        <w:rPr>
          <w:bCs/>
        </w:rPr>
        <w:t xml:space="preserve"> </w:t>
      </w:r>
      <w:r w:rsidRPr="00FA62CA">
        <w:t xml:space="preserve">на </w:t>
      </w:r>
      <w:r w:rsidRPr="00FA62CA">
        <w:rPr>
          <w:b/>
        </w:rPr>
        <w:t>Работната програма</w:t>
      </w:r>
      <w:r w:rsidRPr="00FA62CA">
        <w:t xml:space="preserve">, с отразени: време за подготовка, началото на СМР, сроковете за завършване на отделните етапи от СМР (всички видове СМР, предмет на поръчката), общо времетраене на СМР, диаграма на работната сила и механизация, краен срок за приемане на обекта на съответния адрес и на изпълнение на поръчката като цяло. </w:t>
      </w:r>
    </w:p>
    <w:p w:rsidR="00665578" w:rsidRPr="00FA62CA" w:rsidRDefault="00665578" w:rsidP="00FA62CA">
      <w:pPr>
        <w:pStyle w:val="Default"/>
        <w:jc w:val="both"/>
      </w:pPr>
    </w:p>
    <w:p w:rsidR="00760B78" w:rsidRPr="00FA62CA" w:rsidRDefault="00760B78" w:rsidP="00FA62CA">
      <w:pPr>
        <w:ind w:firstLine="540"/>
        <w:jc w:val="both"/>
        <w:rPr>
          <w:b/>
          <w:i/>
          <w:sz w:val="24"/>
          <w:szCs w:val="24"/>
        </w:rPr>
      </w:pPr>
      <w:r w:rsidRPr="00FA62CA">
        <w:rPr>
          <w:b/>
          <w:i/>
          <w:sz w:val="24"/>
          <w:szCs w:val="24"/>
        </w:rPr>
        <w:t>Б. УПРАВЛЕНИЕ НА РИСКА</w:t>
      </w:r>
    </w:p>
    <w:p w:rsidR="00F03DDC" w:rsidRPr="00FA62CA" w:rsidRDefault="00717D85" w:rsidP="00C6695A">
      <w:pPr>
        <w:widowControl/>
        <w:ind w:firstLine="54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iCs/>
          <w:color w:val="000000"/>
          <w:sz w:val="24"/>
          <w:szCs w:val="24"/>
          <w:lang w:eastAsia="en-US"/>
        </w:rPr>
        <w:t>У</w:t>
      </w:r>
      <w:r w:rsidR="00F03DDC" w:rsidRPr="00F03DDC">
        <w:rPr>
          <w:rFonts w:eastAsiaTheme="minorHAnsi"/>
          <w:iCs/>
          <w:color w:val="000000"/>
          <w:sz w:val="24"/>
          <w:szCs w:val="24"/>
          <w:lang w:eastAsia="en-US"/>
        </w:rPr>
        <w:t>частниците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 xml:space="preserve"> следва да приложат предложенията си</w:t>
      </w:r>
      <w:r w:rsidR="00F03DDC" w:rsidRPr="00F03DDC">
        <w:rPr>
          <w:rFonts w:eastAsiaTheme="minorHAnsi"/>
          <w:iCs/>
          <w:color w:val="000000"/>
          <w:sz w:val="24"/>
          <w:szCs w:val="24"/>
          <w:lang w:eastAsia="en-US"/>
        </w:rPr>
        <w:t xml:space="preserve"> за управление на следните дефинирани от възложителя рискове, които могат да възникнат при изпълнението на 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>поръчката, а именно:</w:t>
      </w:r>
    </w:p>
    <w:p w:rsidR="003865F7" w:rsidRPr="003865F7" w:rsidRDefault="00950FCB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A62CA">
        <w:rPr>
          <w:rFonts w:eastAsiaTheme="minorHAnsi"/>
          <w:iCs/>
          <w:color w:val="000000"/>
          <w:sz w:val="24"/>
          <w:szCs w:val="24"/>
          <w:lang w:eastAsia="en-US"/>
        </w:rPr>
        <w:t xml:space="preserve">1. </w:t>
      </w:r>
      <w:r w:rsidR="003865F7"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Времеви рискове: </w:t>
      </w:r>
    </w:p>
    <w:p w:rsidR="003865F7" w:rsidRPr="003865F7" w:rsidRDefault="003865F7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>- Закъснение</w:t>
      </w:r>
      <w:r w:rsidR="00A9548C" w:rsidRPr="00FA62CA">
        <w:rPr>
          <w:rFonts w:eastAsiaTheme="minorHAnsi"/>
          <w:iCs/>
          <w:color w:val="000000"/>
          <w:sz w:val="24"/>
          <w:szCs w:val="24"/>
          <w:lang w:eastAsia="en-US"/>
        </w:rPr>
        <w:t xml:space="preserve"> при</w:t>
      </w: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 началото на започване на работите; </w:t>
      </w:r>
    </w:p>
    <w:p w:rsidR="003865F7" w:rsidRPr="003865F7" w:rsidRDefault="003865F7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- Изоставане от графика при текущото изпълнение на дейностите; </w:t>
      </w:r>
    </w:p>
    <w:p w:rsidR="003865F7" w:rsidRPr="003865F7" w:rsidRDefault="003865F7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- Риск от закъснение за окончателно приключване и предаване на обекта; </w:t>
      </w:r>
    </w:p>
    <w:p w:rsidR="003865F7" w:rsidRPr="003865F7" w:rsidRDefault="003865F7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2. Липса/недостатъчно съдействие и/или информация от страна на други участници в строителния процес; </w:t>
      </w:r>
    </w:p>
    <w:p w:rsidR="00950FCB" w:rsidRPr="00FA62CA" w:rsidRDefault="009D4505" w:rsidP="00FA62CA">
      <w:pPr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FA62CA">
        <w:rPr>
          <w:rFonts w:eastAsiaTheme="minorHAnsi"/>
          <w:iCs/>
          <w:color w:val="000000"/>
          <w:sz w:val="24"/>
          <w:szCs w:val="24"/>
          <w:lang w:eastAsia="en-US"/>
        </w:rPr>
        <w:t>3.</w:t>
      </w:r>
      <w:r w:rsidR="00AB2BE8">
        <w:rPr>
          <w:rFonts w:eastAsiaTheme="minorHAnsi"/>
          <w:iCs/>
          <w:color w:val="000000"/>
          <w:sz w:val="24"/>
          <w:szCs w:val="24"/>
          <w:lang w:eastAsia="en-US"/>
        </w:rPr>
        <w:t xml:space="preserve"> </w:t>
      </w:r>
      <w:r w:rsidR="003865F7" w:rsidRPr="003865F7">
        <w:rPr>
          <w:rFonts w:eastAsiaTheme="minorHAnsi"/>
          <w:iCs/>
          <w:color w:val="000000"/>
          <w:sz w:val="24"/>
          <w:szCs w:val="24"/>
          <w:lang w:eastAsia="en-US"/>
        </w:rPr>
        <w:t>Трудности при изпълнението на поръчката, продиктувани от констатирано технологично неправилно или некачествено изпълнение на дейност.</w:t>
      </w:r>
    </w:p>
    <w:p w:rsidR="003865F7" w:rsidRPr="00FA62CA" w:rsidRDefault="003865F7" w:rsidP="00FA62CA">
      <w:pPr>
        <w:jc w:val="both"/>
        <w:rPr>
          <w:sz w:val="24"/>
          <w:szCs w:val="24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 </w:t>
      </w:r>
      <w:r w:rsidR="00950FCB" w:rsidRPr="00FA62CA">
        <w:rPr>
          <w:rFonts w:eastAsiaTheme="minorHAnsi"/>
          <w:iCs/>
          <w:color w:val="000000"/>
          <w:sz w:val="24"/>
          <w:szCs w:val="24"/>
          <w:lang w:eastAsia="en-US"/>
        </w:rPr>
        <w:t>Участникът следва да представи:</w:t>
      </w:r>
    </w:p>
    <w:p w:rsidR="00760B78" w:rsidRPr="00FA62CA" w:rsidRDefault="00760B78" w:rsidP="00FA62CA">
      <w:pPr>
        <w:pStyle w:val="ListParagraph"/>
        <w:ind w:left="0" w:firstLine="540"/>
        <w:jc w:val="both"/>
        <w:rPr>
          <w:sz w:val="24"/>
          <w:szCs w:val="24"/>
        </w:rPr>
      </w:pPr>
      <w:r w:rsidRPr="00FA62CA">
        <w:rPr>
          <w:sz w:val="24"/>
          <w:szCs w:val="24"/>
        </w:rPr>
        <w:t>- Идентификация на възможните рискове и  предпоставки за качествено и навременно изпълнение на предмета на поръчката;</w:t>
      </w:r>
    </w:p>
    <w:p w:rsidR="00760B78" w:rsidRPr="00FA62CA" w:rsidRDefault="00760B78" w:rsidP="00FA62CA">
      <w:pPr>
        <w:pStyle w:val="ListParagraph"/>
        <w:ind w:left="0" w:firstLine="540"/>
        <w:jc w:val="both"/>
        <w:rPr>
          <w:sz w:val="24"/>
          <w:szCs w:val="24"/>
        </w:rPr>
      </w:pPr>
      <w:r w:rsidRPr="00FA62CA">
        <w:rPr>
          <w:sz w:val="24"/>
          <w:szCs w:val="24"/>
        </w:rPr>
        <w:t>- Степен на въздействие върху изпълнението при възникването на риска;</w:t>
      </w:r>
    </w:p>
    <w:p w:rsidR="00760B78" w:rsidRPr="00FA62CA" w:rsidRDefault="00760B78" w:rsidP="00FA62CA">
      <w:pPr>
        <w:pStyle w:val="ListParagraph"/>
        <w:ind w:left="0" w:firstLine="540"/>
        <w:jc w:val="both"/>
        <w:rPr>
          <w:sz w:val="24"/>
          <w:szCs w:val="24"/>
        </w:rPr>
      </w:pPr>
      <w:r w:rsidRPr="00FA62CA">
        <w:rPr>
          <w:sz w:val="24"/>
          <w:szCs w:val="24"/>
        </w:rPr>
        <w:t>- Мерки за недопускане / предотвратяване  на риска;</w:t>
      </w:r>
    </w:p>
    <w:p w:rsidR="00760B78" w:rsidRPr="00FA62CA" w:rsidRDefault="00760B78" w:rsidP="00FA62CA">
      <w:pPr>
        <w:pStyle w:val="ListParagraph"/>
        <w:ind w:left="0" w:firstLine="540"/>
        <w:jc w:val="both"/>
        <w:rPr>
          <w:sz w:val="24"/>
          <w:szCs w:val="24"/>
        </w:rPr>
      </w:pPr>
      <w:r w:rsidRPr="00FA62CA">
        <w:rPr>
          <w:sz w:val="24"/>
          <w:szCs w:val="24"/>
        </w:rPr>
        <w:t>- Мерки за преодоляване на риска.</w:t>
      </w:r>
    </w:p>
    <w:p w:rsidR="00760B78" w:rsidRPr="00FA62CA" w:rsidRDefault="00760B78" w:rsidP="00FA62CA">
      <w:pPr>
        <w:jc w:val="both"/>
        <w:rPr>
          <w:i/>
          <w:sz w:val="24"/>
          <w:szCs w:val="24"/>
        </w:rPr>
      </w:pPr>
    </w:p>
    <w:p w:rsidR="00760B78" w:rsidRPr="00C96234" w:rsidRDefault="00760B78" w:rsidP="00FA62CA">
      <w:pPr>
        <w:ind w:firstLine="540"/>
        <w:jc w:val="both"/>
        <w:rPr>
          <w:i/>
          <w:sz w:val="24"/>
          <w:szCs w:val="24"/>
        </w:rPr>
      </w:pPr>
      <w:r w:rsidRPr="00FA62CA">
        <w:rPr>
          <w:b/>
          <w:i/>
          <w:sz w:val="24"/>
          <w:szCs w:val="24"/>
          <w:u w:val="single"/>
        </w:rPr>
        <w:t>Указание:</w:t>
      </w:r>
      <w:r w:rsidRPr="00FA62CA">
        <w:rPr>
          <w:b/>
          <w:i/>
          <w:sz w:val="24"/>
          <w:szCs w:val="24"/>
        </w:rPr>
        <w:t xml:space="preserve"> </w:t>
      </w:r>
      <w:r w:rsidRPr="00FA62CA">
        <w:rPr>
          <w:i/>
          <w:sz w:val="24"/>
          <w:szCs w:val="24"/>
        </w:rPr>
        <w:t>участникът следва подробно да опише технологичната последователност, организацията и плана за работа по изпълнение на поръчката, както и управлението на риска. Участникът разработва техническото предложение като включва в него всички необходими дейности за изпълнение на поръчката.</w:t>
      </w:r>
    </w:p>
    <w:p w:rsidR="00C96234" w:rsidRPr="00C96234" w:rsidRDefault="00C96234" w:rsidP="00FA62CA">
      <w:pPr>
        <w:ind w:firstLine="540"/>
        <w:jc w:val="both"/>
        <w:rPr>
          <w:i/>
          <w:sz w:val="24"/>
          <w:szCs w:val="24"/>
        </w:rPr>
      </w:pPr>
    </w:p>
    <w:p w:rsidR="00760B78" w:rsidRPr="00FA62CA" w:rsidRDefault="00760B78" w:rsidP="00FA62CA">
      <w:pPr>
        <w:jc w:val="both"/>
        <w:rPr>
          <w:sz w:val="24"/>
          <w:szCs w:val="24"/>
        </w:rPr>
      </w:pPr>
    </w:p>
    <w:p w:rsidR="00760B78" w:rsidRPr="00FA62CA" w:rsidRDefault="00760B78" w:rsidP="00FA62CA">
      <w:pPr>
        <w:ind w:firstLine="567"/>
        <w:jc w:val="both"/>
        <w:rPr>
          <w:b/>
          <w:sz w:val="24"/>
          <w:szCs w:val="24"/>
        </w:rPr>
      </w:pPr>
      <w:r w:rsidRPr="00FA62CA">
        <w:rPr>
          <w:b/>
          <w:sz w:val="24"/>
          <w:szCs w:val="24"/>
        </w:rPr>
        <w:t>4. Гаранционен срок за изпълнените строително-монтажни работи е, както следва:</w:t>
      </w:r>
    </w:p>
    <w:p w:rsidR="00760B78" w:rsidRPr="00FA62CA" w:rsidRDefault="00760B78" w:rsidP="00FA62CA">
      <w:pPr>
        <w:ind w:firstLine="567"/>
        <w:jc w:val="both"/>
        <w:rPr>
          <w:b/>
          <w:sz w:val="24"/>
          <w:szCs w:val="24"/>
        </w:rPr>
      </w:pPr>
      <w:r w:rsidRPr="00FA62CA">
        <w:rPr>
          <w:sz w:val="24"/>
          <w:szCs w:val="24"/>
        </w:rPr>
        <w:t>Предлагам следния гаранционен срок за изпълнените строителни и монтажни работи, а именно: ..........................години</w:t>
      </w:r>
      <w:r w:rsidRPr="00FA62CA">
        <w:rPr>
          <w:b/>
          <w:sz w:val="24"/>
          <w:szCs w:val="24"/>
        </w:rPr>
        <w:t xml:space="preserve"> </w:t>
      </w:r>
      <w:r w:rsidRPr="00FA62CA">
        <w:rPr>
          <w:sz w:val="24"/>
          <w:szCs w:val="24"/>
        </w:rPr>
        <w:t>(словом: ..................................................).</w:t>
      </w:r>
    </w:p>
    <w:p w:rsidR="00760B78" w:rsidRPr="00FA62CA" w:rsidRDefault="00760B78" w:rsidP="00FA62CA">
      <w:pPr>
        <w:jc w:val="both"/>
        <w:rPr>
          <w:sz w:val="24"/>
          <w:szCs w:val="24"/>
        </w:rPr>
      </w:pPr>
    </w:p>
    <w:p w:rsidR="00760B78" w:rsidRPr="00946E6A" w:rsidRDefault="00760B78" w:rsidP="00FA62CA">
      <w:pPr>
        <w:ind w:firstLine="567"/>
        <w:jc w:val="both"/>
        <w:rPr>
          <w:i/>
          <w:sz w:val="24"/>
          <w:szCs w:val="24"/>
        </w:rPr>
      </w:pPr>
      <w:r w:rsidRPr="00FA62CA">
        <w:rPr>
          <w:b/>
          <w:i/>
          <w:sz w:val="24"/>
          <w:szCs w:val="24"/>
          <w:u w:val="single"/>
        </w:rPr>
        <w:t>Указание:</w:t>
      </w:r>
      <w:r w:rsidRPr="00FA62CA">
        <w:rPr>
          <w:i/>
          <w:sz w:val="24"/>
          <w:szCs w:val="24"/>
        </w:rPr>
        <w:t xml:space="preserve"> участниците задължително изработват предложенията си при съблюдаване на изискванията на възложителя и приложимото българско законодателство. Всеки участник следва да предложи гаранционен срок, който да е </w:t>
      </w:r>
      <w:r w:rsidRPr="00FA62CA">
        <w:rPr>
          <w:i/>
          <w:sz w:val="24"/>
          <w:szCs w:val="24"/>
        </w:rPr>
        <w:lastRenderedPageBreak/>
        <w:t xml:space="preserve">съобразен с </w:t>
      </w:r>
      <w:r w:rsidRPr="00C96234">
        <w:rPr>
          <w:i/>
          <w:sz w:val="24"/>
          <w:szCs w:val="24"/>
        </w:rPr>
        <w:t xml:space="preserve">минималните гаранционни срокове, който са определени в Наредба № 2 от 31.07.2003 г. за въвеждане в експлоатация на строежите в Република България и минимални гаранционни срокове за </w:t>
      </w:r>
      <w:r w:rsidR="00C96234" w:rsidRPr="00C96234">
        <w:rPr>
          <w:i/>
          <w:sz w:val="24"/>
          <w:szCs w:val="24"/>
        </w:rPr>
        <w:t>преносни и разпределителни проводи (мрежи) и съоръжения към тях на техническата инфраструктура, съгласно чл. 20, ал. 4, т. 7</w:t>
      </w:r>
      <w:r w:rsidR="00C96234">
        <w:rPr>
          <w:i/>
          <w:sz w:val="24"/>
          <w:szCs w:val="24"/>
        </w:rPr>
        <w:t xml:space="preserve"> от Наредбата</w:t>
      </w:r>
      <w:r w:rsidR="00946E6A" w:rsidRPr="00C96234">
        <w:rPr>
          <w:i/>
          <w:sz w:val="24"/>
          <w:szCs w:val="24"/>
        </w:rPr>
        <w:t>.</w:t>
      </w:r>
    </w:p>
    <w:p w:rsidR="00760B78" w:rsidRPr="00FA62CA" w:rsidRDefault="00760B78" w:rsidP="00FA62CA">
      <w:pPr>
        <w:tabs>
          <w:tab w:val="left" w:pos="993"/>
        </w:tabs>
        <w:jc w:val="both"/>
        <w:rPr>
          <w:rFonts w:eastAsia="MS Mincho"/>
          <w:sz w:val="24"/>
          <w:szCs w:val="24"/>
          <w:highlight w:val="yellow"/>
        </w:rPr>
      </w:pPr>
    </w:p>
    <w:p w:rsidR="00760B78" w:rsidRPr="004B662E" w:rsidRDefault="00760B78" w:rsidP="00A66F54">
      <w:pPr>
        <w:ind w:firstLine="703"/>
        <w:jc w:val="both"/>
        <w:rPr>
          <w:sz w:val="24"/>
          <w:szCs w:val="24"/>
        </w:rPr>
      </w:pPr>
      <w:r w:rsidRPr="00FA62CA">
        <w:rPr>
          <w:b/>
          <w:sz w:val="24"/>
          <w:szCs w:val="24"/>
        </w:rPr>
        <w:t xml:space="preserve">5. </w:t>
      </w:r>
      <w:r w:rsidRPr="00FA62CA">
        <w:rPr>
          <w:sz w:val="24"/>
          <w:szCs w:val="24"/>
        </w:rPr>
        <w:t xml:space="preserve">При изпълнението на поръчката ще се придържаме точно към указанията на възложителя, съгласно </w:t>
      </w:r>
      <w:r w:rsidR="005774EE" w:rsidRPr="00FA62CA">
        <w:rPr>
          <w:sz w:val="24"/>
          <w:szCs w:val="24"/>
        </w:rPr>
        <w:t>Техническите спецификации</w:t>
      </w:r>
      <w:r w:rsidR="00625A17">
        <w:rPr>
          <w:sz w:val="24"/>
          <w:szCs w:val="24"/>
        </w:rPr>
        <w:t xml:space="preserve"> – Приложение № 1</w:t>
      </w:r>
      <w:r w:rsidR="005774EE" w:rsidRPr="00FA62CA">
        <w:rPr>
          <w:sz w:val="24"/>
          <w:szCs w:val="24"/>
        </w:rPr>
        <w:t>,</w:t>
      </w:r>
      <w:r w:rsidR="00625A17">
        <w:rPr>
          <w:sz w:val="24"/>
          <w:szCs w:val="24"/>
        </w:rPr>
        <w:t xml:space="preserve"> количествено-стойностната сметка – Приложение № 1.</w:t>
      </w:r>
      <w:proofErr w:type="spellStart"/>
      <w:r w:rsidR="00625A17">
        <w:rPr>
          <w:sz w:val="24"/>
          <w:szCs w:val="24"/>
        </w:rPr>
        <w:t>1</w:t>
      </w:r>
      <w:proofErr w:type="spellEnd"/>
      <w:r w:rsidR="00625A17">
        <w:rPr>
          <w:sz w:val="24"/>
          <w:szCs w:val="24"/>
        </w:rPr>
        <w:t xml:space="preserve">. и </w:t>
      </w:r>
      <w:r w:rsidR="00237C99">
        <w:rPr>
          <w:sz w:val="24"/>
          <w:szCs w:val="24"/>
        </w:rPr>
        <w:t>документацията от обследването</w:t>
      </w:r>
      <w:r w:rsidR="00237C99" w:rsidRPr="00237C99">
        <w:rPr>
          <w:bCs/>
          <w:sz w:val="24"/>
          <w:szCs w:val="24"/>
        </w:rPr>
        <w:t xml:space="preserve"> </w:t>
      </w:r>
      <w:r w:rsidR="00237C99" w:rsidRPr="008906B6">
        <w:rPr>
          <w:bCs/>
          <w:sz w:val="24"/>
          <w:szCs w:val="24"/>
        </w:rPr>
        <w:t>на противопожарния тръбопровод</w:t>
      </w:r>
      <w:bookmarkStart w:id="0" w:name="_GoBack"/>
      <w:bookmarkEnd w:id="0"/>
      <w:r w:rsidR="00625A17">
        <w:rPr>
          <w:sz w:val="24"/>
          <w:szCs w:val="24"/>
        </w:rPr>
        <w:t xml:space="preserve"> – Приложение № 1.2.,</w:t>
      </w:r>
      <w:r w:rsidR="00AF087D" w:rsidRPr="00FA62CA">
        <w:rPr>
          <w:sz w:val="24"/>
          <w:szCs w:val="24"/>
        </w:rPr>
        <w:t xml:space="preserve"> о</w:t>
      </w:r>
      <w:r w:rsidR="005774EE" w:rsidRPr="00FA62CA">
        <w:rPr>
          <w:sz w:val="24"/>
          <w:szCs w:val="24"/>
        </w:rPr>
        <w:t>бявата и в</w:t>
      </w:r>
      <w:r w:rsidRPr="00FA62CA">
        <w:rPr>
          <w:sz w:val="24"/>
          <w:szCs w:val="24"/>
        </w:rPr>
        <w:t>сички технически норми и стандарти, които се отнасят до изпълнението на поръчката.</w:t>
      </w:r>
    </w:p>
    <w:p w:rsidR="00A66F54" w:rsidRDefault="00A66F54" w:rsidP="00A66F54">
      <w:pPr>
        <w:ind w:firstLine="703"/>
        <w:jc w:val="both"/>
        <w:rPr>
          <w:bCs/>
          <w:iCs/>
          <w:sz w:val="24"/>
          <w:szCs w:val="24"/>
        </w:rPr>
      </w:pPr>
      <w:r w:rsidRPr="00A66F54">
        <w:rPr>
          <w:bCs/>
          <w:iCs/>
          <w:sz w:val="24"/>
          <w:szCs w:val="24"/>
        </w:rPr>
        <w:t>6. Декларираме, че сме запознати с условията на обществената поръчка, включително и с приложения към обявата проект на договор, приемаме безусловно неговите клаузи и сме съгласни да изпълним обществената поръчка в пълния ѝ обем при тези условия.</w:t>
      </w:r>
    </w:p>
    <w:p w:rsidR="000B7CC6" w:rsidRDefault="000B7CC6" w:rsidP="000B7CC6">
      <w:pPr>
        <w:spacing w:before="120"/>
        <w:ind w:firstLine="708"/>
        <w:jc w:val="both"/>
      </w:pPr>
      <w:r>
        <w:rPr>
          <w:bCs/>
          <w:sz w:val="24"/>
          <w:szCs w:val="24"/>
        </w:rPr>
        <w:t>7.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DAF" w:rsidRDefault="000B7CC6" w:rsidP="00A66F54">
      <w:pPr>
        <w:widowControl/>
        <w:autoSpaceDE/>
        <w:autoSpaceDN/>
        <w:adjustRightInd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E7D42">
        <w:rPr>
          <w:sz w:val="24"/>
          <w:szCs w:val="24"/>
        </w:rPr>
        <w:t xml:space="preserve">. </w:t>
      </w:r>
      <w:r w:rsidR="001C7DAF" w:rsidRPr="00A529FF">
        <w:rPr>
          <w:sz w:val="24"/>
          <w:szCs w:val="24"/>
        </w:rPr>
        <w:t>Декларираме, че валидността на наш</w:t>
      </w:r>
      <w:r w:rsidR="00A66F54">
        <w:rPr>
          <w:sz w:val="24"/>
          <w:szCs w:val="24"/>
        </w:rPr>
        <w:t xml:space="preserve">ето предложение е 180 (сто и осемдесет дни) </w:t>
      </w:r>
      <w:r w:rsidR="001C7DAF" w:rsidRPr="00A529FF">
        <w:rPr>
          <w:sz w:val="24"/>
          <w:szCs w:val="24"/>
        </w:rPr>
        <w:t xml:space="preserve">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B7468A" w:rsidRDefault="00B7468A" w:rsidP="00A66F54">
      <w:pPr>
        <w:widowControl/>
        <w:autoSpaceDE/>
        <w:autoSpaceDN/>
        <w:adjustRightInd/>
        <w:ind w:firstLine="703"/>
        <w:jc w:val="both"/>
        <w:rPr>
          <w:sz w:val="24"/>
          <w:szCs w:val="24"/>
        </w:rPr>
      </w:pPr>
    </w:p>
    <w:p w:rsidR="00DD3168" w:rsidRDefault="0039316D" w:rsidP="00A02CC5">
      <w:pPr>
        <w:tabs>
          <w:tab w:val="num" w:pos="851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DD3168" w:rsidRPr="00EF1ED5">
        <w:rPr>
          <w:i/>
          <w:sz w:val="24"/>
          <w:szCs w:val="24"/>
        </w:rPr>
        <w:t>Приложения</w:t>
      </w:r>
      <w:r w:rsidR="00DD3168">
        <w:rPr>
          <w:i/>
          <w:sz w:val="24"/>
          <w:szCs w:val="24"/>
        </w:rPr>
        <w:t>:</w:t>
      </w:r>
    </w:p>
    <w:p w:rsidR="00DD3168" w:rsidRPr="00CD2160" w:rsidRDefault="00DD3168" w:rsidP="00316A95">
      <w:pPr>
        <w:tabs>
          <w:tab w:val="num" w:pos="851"/>
        </w:tabs>
        <w:jc w:val="both"/>
        <w:rPr>
          <w:i/>
          <w:sz w:val="24"/>
          <w:szCs w:val="24"/>
        </w:rPr>
      </w:pPr>
      <w:r w:rsidRPr="00CD2160">
        <w:rPr>
          <w:i/>
          <w:position w:val="5"/>
          <w:sz w:val="24"/>
          <w:szCs w:val="24"/>
        </w:rPr>
        <w:t>Нотариално заверено пълномощно на лицето, подписващо офертата (прилага се когато офертата не е подписана от представляващия участника)</w:t>
      </w:r>
      <w:r w:rsidRPr="00CD2160">
        <w:rPr>
          <w:i/>
          <w:sz w:val="24"/>
          <w:szCs w:val="24"/>
        </w:rPr>
        <w:t xml:space="preserve"> </w:t>
      </w:r>
    </w:p>
    <w:p w:rsidR="00DD3168" w:rsidRPr="00CD2160" w:rsidRDefault="00DD3168" w:rsidP="00316A95">
      <w:pPr>
        <w:tabs>
          <w:tab w:val="num" w:pos="-142"/>
          <w:tab w:val="num" w:pos="851"/>
        </w:tabs>
        <w:ind w:left="-426"/>
        <w:jc w:val="both"/>
        <w:rPr>
          <w:i/>
          <w:sz w:val="24"/>
          <w:szCs w:val="24"/>
        </w:rPr>
      </w:pPr>
    </w:p>
    <w:p w:rsidR="00DD3168" w:rsidRPr="00CD2160" w:rsidRDefault="00DD3168" w:rsidP="00316A95">
      <w:pPr>
        <w:widowControl/>
        <w:autoSpaceDE/>
        <w:autoSpaceDN/>
        <w:adjustRightInd/>
        <w:ind w:firstLine="703"/>
        <w:jc w:val="both"/>
        <w:rPr>
          <w:sz w:val="24"/>
          <w:szCs w:val="24"/>
        </w:rPr>
      </w:pPr>
    </w:p>
    <w:p w:rsidR="001C7DAF" w:rsidRPr="004B662E" w:rsidRDefault="001C7DAF" w:rsidP="00CC44FF">
      <w:pPr>
        <w:ind w:firstLine="705"/>
        <w:jc w:val="both"/>
        <w:rPr>
          <w:sz w:val="24"/>
          <w:szCs w:val="24"/>
        </w:rPr>
      </w:pPr>
    </w:p>
    <w:p w:rsidR="001C41F7" w:rsidRDefault="001C41F7" w:rsidP="00FA62CA">
      <w:pPr>
        <w:ind w:firstLine="705"/>
        <w:jc w:val="both"/>
        <w:rPr>
          <w:sz w:val="24"/>
          <w:szCs w:val="24"/>
        </w:rPr>
      </w:pPr>
    </w:p>
    <w:p w:rsidR="001C41F7" w:rsidRPr="00FA62CA" w:rsidRDefault="001C41F7" w:rsidP="00FA62CA">
      <w:pPr>
        <w:ind w:firstLine="705"/>
        <w:jc w:val="both"/>
        <w:rPr>
          <w:sz w:val="24"/>
          <w:szCs w:val="24"/>
          <w:highlight w:val="yellow"/>
        </w:rPr>
      </w:pPr>
    </w:p>
    <w:p w:rsidR="00760B78" w:rsidRPr="00FA62CA" w:rsidRDefault="00760B78" w:rsidP="00FA62CA">
      <w:pPr>
        <w:jc w:val="both"/>
        <w:rPr>
          <w:sz w:val="24"/>
          <w:szCs w:val="24"/>
        </w:rPr>
      </w:pPr>
    </w:p>
    <w:p w:rsidR="00760B78" w:rsidRPr="009131C0" w:rsidRDefault="00580489" w:rsidP="00760B78">
      <w:pPr>
        <w:spacing w:line="360" w:lineRule="auto"/>
        <w:ind w:firstLine="720"/>
        <w:rPr>
          <w:b/>
          <w:color w:val="000000"/>
          <w:sz w:val="24"/>
          <w:szCs w:val="24"/>
          <w:u w:val="single"/>
        </w:rPr>
      </w:pPr>
      <w:r w:rsidRPr="009131C0">
        <w:rPr>
          <w:sz w:val="24"/>
          <w:szCs w:val="24"/>
        </w:rPr>
        <w:t xml:space="preserve"> </w:t>
      </w:r>
      <w:r w:rsidR="00760B78" w:rsidRPr="009131C0">
        <w:rPr>
          <w:sz w:val="24"/>
          <w:szCs w:val="24"/>
        </w:rPr>
        <w:t>[дата]</w:t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>
        <w:rPr>
          <w:b/>
          <w:color w:val="000000"/>
          <w:sz w:val="24"/>
          <w:szCs w:val="24"/>
          <w:u w:val="single"/>
        </w:rPr>
        <w:t>ПОДПИС</w:t>
      </w:r>
    </w:p>
    <w:p w:rsidR="00760B78" w:rsidRPr="009131C0" w:rsidRDefault="00760B78" w:rsidP="00760B78">
      <w:pPr>
        <w:spacing w:line="360" w:lineRule="auto"/>
        <w:ind w:firstLine="4320"/>
        <w:rPr>
          <w:b/>
          <w:color w:val="000000"/>
          <w:sz w:val="24"/>
          <w:szCs w:val="24"/>
          <w:u w:val="single"/>
        </w:rPr>
      </w:pPr>
      <w:r w:rsidRPr="009131C0">
        <w:rPr>
          <w:b/>
          <w:color w:val="000000"/>
          <w:sz w:val="24"/>
          <w:szCs w:val="24"/>
          <w:u w:val="single"/>
        </w:rPr>
        <w:t>ПЕЧАТ</w:t>
      </w:r>
    </w:p>
    <w:p w:rsidR="00760B78" w:rsidRPr="009131C0" w:rsidRDefault="00760B78" w:rsidP="00760B78">
      <w:pPr>
        <w:spacing w:line="360" w:lineRule="auto"/>
        <w:ind w:firstLine="4320"/>
        <w:rPr>
          <w:sz w:val="24"/>
          <w:szCs w:val="24"/>
        </w:rPr>
      </w:pPr>
      <w:r w:rsidRPr="009131C0">
        <w:rPr>
          <w:sz w:val="24"/>
          <w:szCs w:val="24"/>
        </w:rPr>
        <w:t>[име и фамилия]</w:t>
      </w:r>
    </w:p>
    <w:p w:rsidR="00760B78" w:rsidRPr="009131C0" w:rsidRDefault="00760B78" w:rsidP="00760B78">
      <w:pPr>
        <w:spacing w:line="360" w:lineRule="auto"/>
        <w:ind w:firstLine="4320"/>
        <w:rPr>
          <w:sz w:val="24"/>
          <w:szCs w:val="24"/>
        </w:rPr>
      </w:pPr>
      <w:r w:rsidRPr="009131C0">
        <w:rPr>
          <w:sz w:val="24"/>
          <w:szCs w:val="24"/>
        </w:rPr>
        <w:t>[качество на представляващия участника]</w:t>
      </w:r>
    </w:p>
    <w:p w:rsidR="00B36E8E" w:rsidRDefault="00B36E8E"/>
    <w:sectPr w:rsidR="00B36E8E" w:rsidSect="004F27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F7" w:rsidRDefault="00633EF7" w:rsidP="00760B78">
      <w:r>
        <w:separator/>
      </w:r>
    </w:p>
  </w:endnote>
  <w:endnote w:type="continuationSeparator" w:id="0">
    <w:p w:rsidR="00633EF7" w:rsidRDefault="00633EF7" w:rsidP="007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F7" w:rsidRDefault="00633EF7" w:rsidP="00760B78">
      <w:r>
        <w:separator/>
      </w:r>
    </w:p>
  </w:footnote>
  <w:footnote w:type="continuationSeparator" w:id="0">
    <w:p w:rsidR="00633EF7" w:rsidRDefault="00633EF7" w:rsidP="0076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F7D"/>
    <w:multiLevelType w:val="hybridMultilevel"/>
    <w:tmpl w:val="A688503C"/>
    <w:lvl w:ilvl="0" w:tplc="B994DF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24386"/>
    <w:multiLevelType w:val="hybridMultilevel"/>
    <w:tmpl w:val="728E15F6"/>
    <w:lvl w:ilvl="0" w:tplc="E0A007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E3BE2"/>
    <w:multiLevelType w:val="hybridMultilevel"/>
    <w:tmpl w:val="4478353E"/>
    <w:lvl w:ilvl="0" w:tplc="6EC60968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66067"/>
    <w:multiLevelType w:val="hybridMultilevel"/>
    <w:tmpl w:val="F6C6C364"/>
    <w:lvl w:ilvl="0" w:tplc="DF4E4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78"/>
    <w:rsid w:val="00001E9D"/>
    <w:rsid w:val="000061B2"/>
    <w:rsid w:val="000171AF"/>
    <w:rsid w:val="000541EF"/>
    <w:rsid w:val="00073DCF"/>
    <w:rsid w:val="000A57AD"/>
    <w:rsid w:val="000B7CC6"/>
    <w:rsid w:val="00145266"/>
    <w:rsid w:val="0015589A"/>
    <w:rsid w:val="001C41F7"/>
    <w:rsid w:val="001C7DAF"/>
    <w:rsid w:val="001F251C"/>
    <w:rsid w:val="0021522E"/>
    <w:rsid w:val="00237C99"/>
    <w:rsid w:val="002C0530"/>
    <w:rsid w:val="002D24CD"/>
    <w:rsid w:val="00316A95"/>
    <w:rsid w:val="00356238"/>
    <w:rsid w:val="003865F7"/>
    <w:rsid w:val="00390CC8"/>
    <w:rsid w:val="0039316D"/>
    <w:rsid w:val="003F7797"/>
    <w:rsid w:val="004360FC"/>
    <w:rsid w:val="0045194B"/>
    <w:rsid w:val="00466544"/>
    <w:rsid w:val="004879B7"/>
    <w:rsid w:val="004A6F81"/>
    <w:rsid w:val="004B662E"/>
    <w:rsid w:val="004C3C70"/>
    <w:rsid w:val="004F27C0"/>
    <w:rsid w:val="00507ABF"/>
    <w:rsid w:val="005110A6"/>
    <w:rsid w:val="005774EE"/>
    <w:rsid w:val="00580489"/>
    <w:rsid w:val="005A2744"/>
    <w:rsid w:val="005A377C"/>
    <w:rsid w:val="005F6940"/>
    <w:rsid w:val="00625A17"/>
    <w:rsid w:val="006320AB"/>
    <w:rsid w:val="00633EF7"/>
    <w:rsid w:val="00665578"/>
    <w:rsid w:val="00665958"/>
    <w:rsid w:val="00691175"/>
    <w:rsid w:val="006D2584"/>
    <w:rsid w:val="006D650A"/>
    <w:rsid w:val="006D6590"/>
    <w:rsid w:val="00706889"/>
    <w:rsid w:val="00717D85"/>
    <w:rsid w:val="00730590"/>
    <w:rsid w:val="00734798"/>
    <w:rsid w:val="00760B78"/>
    <w:rsid w:val="0079110F"/>
    <w:rsid w:val="00793DA9"/>
    <w:rsid w:val="007E6DE4"/>
    <w:rsid w:val="00846B12"/>
    <w:rsid w:val="008A0084"/>
    <w:rsid w:val="008C0B0E"/>
    <w:rsid w:val="008E0A7B"/>
    <w:rsid w:val="00931E3E"/>
    <w:rsid w:val="00946E6A"/>
    <w:rsid w:val="00950FCB"/>
    <w:rsid w:val="00962769"/>
    <w:rsid w:val="009D4505"/>
    <w:rsid w:val="00A02CC5"/>
    <w:rsid w:val="00A13901"/>
    <w:rsid w:val="00A40DC1"/>
    <w:rsid w:val="00A50B55"/>
    <w:rsid w:val="00A529FF"/>
    <w:rsid w:val="00A66F54"/>
    <w:rsid w:val="00A94F85"/>
    <w:rsid w:val="00A9548C"/>
    <w:rsid w:val="00AB2BE8"/>
    <w:rsid w:val="00AD25F5"/>
    <w:rsid w:val="00AF087D"/>
    <w:rsid w:val="00B36E8E"/>
    <w:rsid w:val="00B51D64"/>
    <w:rsid w:val="00B7468A"/>
    <w:rsid w:val="00BE7D42"/>
    <w:rsid w:val="00C0282A"/>
    <w:rsid w:val="00C36EE0"/>
    <w:rsid w:val="00C4102F"/>
    <w:rsid w:val="00C463E8"/>
    <w:rsid w:val="00C549CE"/>
    <w:rsid w:val="00C6695A"/>
    <w:rsid w:val="00C876BD"/>
    <w:rsid w:val="00C96234"/>
    <w:rsid w:val="00CC44FF"/>
    <w:rsid w:val="00CD2160"/>
    <w:rsid w:val="00CD72D0"/>
    <w:rsid w:val="00D1202E"/>
    <w:rsid w:val="00D3407F"/>
    <w:rsid w:val="00DA60DD"/>
    <w:rsid w:val="00DD3168"/>
    <w:rsid w:val="00DE4C55"/>
    <w:rsid w:val="00DE51CC"/>
    <w:rsid w:val="00DF7C31"/>
    <w:rsid w:val="00E742F4"/>
    <w:rsid w:val="00EB722F"/>
    <w:rsid w:val="00F03DDC"/>
    <w:rsid w:val="00F8780B"/>
    <w:rsid w:val="00FA62CA"/>
    <w:rsid w:val="00FC694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7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B78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760B78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1"/>
    <w:uiPriority w:val="99"/>
    <w:rsid w:val="00760B7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uiPriority w:val="99"/>
    <w:semiHidden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1">
    <w:name w:val="Footnote Text Char1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locked/>
    <w:rsid w:val="00760B78"/>
    <w:rPr>
      <w:rFonts w:ascii="Calibri" w:eastAsia="Times New Roman" w:hAnsi="Calibri" w:cs="Calibri"/>
      <w:sz w:val="20"/>
      <w:szCs w:val="20"/>
      <w:lang w:eastAsia="bg-BG"/>
    </w:rPr>
  </w:style>
  <w:style w:type="character" w:styleId="FootnoteReference">
    <w:name w:val="footnote reference"/>
    <w:aliases w:val="Footnote"/>
    <w:basedOn w:val="DefaultParagraphFont"/>
    <w:uiPriority w:val="99"/>
    <w:rsid w:val="00760B78"/>
    <w:rPr>
      <w:vertAlign w:val="superscript"/>
    </w:rPr>
  </w:style>
  <w:style w:type="paragraph" w:customStyle="1" w:styleId="CharCharChar1">
    <w:name w:val="Char Char Char1"/>
    <w:basedOn w:val="Normal"/>
    <w:uiPriority w:val="99"/>
    <w:rsid w:val="00760B78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760B78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760B78"/>
    <w:rPr>
      <w:rFonts w:cs="Times New Roman"/>
      <w:sz w:val="16"/>
      <w:szCs w:val="16"/>
    </w:rPr>
  </w:style>
  <w:style w:type="paragraph" w:customStyle="1" w:styleId="Default">
    <w:name w:val="Default"/>
    <w:rsid w:val="0066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74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CD72D0"/>
    <w:pPr>
      <w:spacing w:after="120"/>
      <w:ind w:left="283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CD72D0"/>
    <w:rPr>
      <w:rFonts w:ascii="Arial" w:eastAsia="Times New Roman" w:hAnsi="Arial" w:cs="Arial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CD72D0"/>
    <w:pPr>
      <w:spacing w:after="1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2D0"/>
    <w:rPr>
      <w:rFonts w:ascii="Arial" w:eastAsia="Times New Roman" w:hAnsi="Arial" w:cs="Arial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7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B78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760B78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1"/>
    <w:uiPriority w:val="99"/>
    <w:rsid w:val="00760B7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uiPriority w:val="99"/>
    <w:semiHidden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1">
    <w:name w:val="Footnote Text Char1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locked/>
    <w:rsid w:val="00760B78"/>
    <w:rPr>
      <w:rFonts w:ascii="Calibri" w:eastAsia="Times New Roman" w:hAnsi="Calibri" w:cs="Calibri"/>
      <w:sz w:val="20"/>
      <w:szCs w:val="20"/>
      <w:lang w:eastAsia="bg-BG"/>
    </w:rPr>
  </w:style>
  <w:style w:type="character" w:styleId="FootnoteReference">
    <w:name w:val="footnote reference"/>
    <w:aliases w:val="Footnote"/>
    <w:basedOn w:val="DefaultParagraphFont"/>
    <w:uiPriority w:val="99"/>
    <w:rsid w:val="00760B78"/>
    <w:rPr>
      <w:vertAlign w:val="superscript"/>
    </w:rPr>
  </w:style>
  <w:style w:type="paragraph" w:customStyle="1" w:styleId="CharCharChar1">
    <w:name w:val="Char Char Char1"/>
    <w:basedOn w:val="Normal"/>
    <w:uiPriority w:val="99"/>
    <w:rsid w:val="00760B78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760B78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760B78"/>
    <w:rPr>
      <w:rFonts w:cs="Times New Roman"/>
      <w:sz w:val="16"/>
      <w:szCs w:val="16"/>
    </w:rPr>
  </w:style>
  <w:style w:type="paragraph" w:customStyle="1" w:styleId="Default">
    <w:name w:val="Default"/>
    <w:rsid w:val="0066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74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CD72D0"/>
    <w:pPr>
      <w:spacing w:after="120"/>
      <w:ind w:left="283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CD72D0"/>
    <w:rPr>
      <w:rFonts w:ascii="Arial" w:eastAsia="Times New Roman" w:hAnsi="Arial" w:cs="Arial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CD72D0"/>
    <w:pPr>
      <w:spacing w:after="1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2D0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41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73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6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11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0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Kristina Hariskova</cp:lastModifiedBy>
  <cp:revision>87</cp:revision>
  <cp:lastPrinted>2017-03-22T08:01:00Z</cp:lastPrinted>
  <dcterms:created xsi:type="dcterms:W3CDTF">2016-08-29T07:51:00Z</dcterms:created>
  <dcterms:modified xsi:type="dcterms:W3CDTF">2017-05-17T11:16:00Z</dcterms:modified>
</cp:coreProperties>
</file>